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9D69D5" w:rsidTr="002B15E7">
        <w:tc>
          <w:tcPr>
            <w:tcW w:w="4800" w:type="dxa"/>
            <w:gridSpan w:val="2"/>
            <w:shd w:val="clear" w:color="auto" w:fill="auto"/>
          </w:tcPr>
          <w:p w:rsidR="009D69D5" w:rsidRDefault="009D69D5" w:rsidP="002B15E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9D69D5" w:rsidRDefault="009D69D5" w:rsidP="002B15E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9D69D5" w:rsidRDefault="009D69D5" w:rsidP="002B15E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9D69D5" w:rsidRDefault="009D69D5" w:rsidP="002B15E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9D69D5" w:rsidRDefault="009D69D5" w:rsidP="002B15E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9D69D5" w:rsidRDefault="009D69D5" w:rsidP="002B15E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9D69D5" w:rsidRDefault="009D69D5" w:rsidP="002B15E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9D69D5" w:rsidRDefault="009D69D5" w:rsidP="002B15E7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9D69D5" w:rsidRDefault="009D69D5" w:rsidP="002B15E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9D69D5" w:rsidRDefault="009D69D5" w:rsidP="002B15E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9D69D5" w:rsidRDefault="009D69D5" w:rsidP="002B15E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9D69D5" w:rsidRDefault="009D69D5" w:rsidP="002B15E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9D69D5" w:rsidRDefault="009D69D5" w:rsidP="002B15E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9D69D5" w:rsidRDefault="009D69D5" w:rsidP="002B15E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9D69D5" w:rsidRDefault="009D69D5" w:rsidP="002B15E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9D69D5" w:rsidRDefault="009D69D5" w:rsidP="002B15E7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9D69D5" w:rsidTr="002B15E7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9D69D5" w:rsidRDefault="009D69D5" w:rsidP="002B15E7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9D69D5" w:rsidRDefault="009D69D5" w:rsidP="002B15E7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9D69D5" w:rsidRDefault="009D69D5" w:rsidP="002B15E7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9D69D5" w:rsidRDefault="009D69D5" w:rsidP="009D69D5">
      <w:pPr>
        <w:jc w:val="center"/>
      </w:pPr>
    </w:p>
    <w:p w:rsidR="009D69D5" w:rsidRDefault="009D69D5" w:rsidP="009D69D5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D69D5" w:rsidRDefault="009D69D5" w:rsidP="009D69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05.05.2015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№77</w:t>
      </w:r>
    </w:p>
    <w:p w:rsidR="009D69D5" w:rsidRDefault="009D69D5" w:rsidP="009D69D5">
      <w:pPr>
        <w:rPr>
          <w:sz w:val="28"/>
          <w:szCs w:val="28"/>
          <w:lang w:val="uk-UA"/>
        </w:rPr>
      </w:pPr>
    </w:p>
    <w:p w:rsidR="009D69D5" w:rsidRDefault="009D69D5" w:rsidP="009D69D5">
      <w:pPr>
        <w:rPr>
          <w:sz w:val="28"/>
          <w:szCs w:val="28"/>
          <w:lang w:val="uk-UA"/>
        </w:rPr>
      </w:pPr>
    </w:p>
    <w:p w:rsidR="009D69D5" w:rsidRDefault="009D69D5" w:rsidP="009D69D5">
      <w:pPr>
        <w:widowControl w:val="0"/>
        <w:tabs>
          <w:tab w:val="left" w:pos="0"/>
        </w:tabs>
        <w:spacing w:line="200" w:lineRule="atLeast"/>
        <w:ind w:left="-15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Про організацію заходів з літнього </w:t>
      </w:r>
    </w:p>
    <w:p w:rsidR="009D69D5" w:rsidRDefault="009D69D5" w:rsidP="009D69D5">
      <w:pPr>
        <w:widowControl w:val="0"/>
        <w:tabs>
          <w:tab w:val="left" w:pos="0"/>
        </w:tabs>
        <w:spacing w:line="200" w:lineRule="atLeast"/>
        <w:ind w:left="-15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відпочинку та оздоровлення дітей </w:t>
      </w:r>
    </w:p>
    <w:p w:rsidR="009D69D5" w:rsidRDefault="009D69D5" w:rsidP="009D69D5">
      <w:pPr>
        <w:widowControl w:val="0"/>
        <w:tabs>
          <w:tab w:val="left" w:pos="0"/>
        </w:tabs>
        <w:spacing w:line="200" w:lineRule="atLeast"/>
        <w:ind w:left="-15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Харківського навчально-виховного </w:t>
      </w:r>
    </w:p>
    <w:p w:rsidR="009D69D5" w:rsidRDefault="009D69D5" w:rsidP="009D69D5">
      <w:pPr>
        <w:widowControl w:val="0"/>
        <w:tabs>
          <w:tab w:val="left" w:pos="0"/>
        </w:tabs>
        <w:spacing w:line="200" w:lineRule="atLeast"/>
        <w:ind w:left="-15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>комплексу №179 в 2015 році</w:t>
      </w:r>
    </w:p>
    <w:p w:rsidR="009D69D5" w:rsidRDefault="009D69D5" w:rsidP="009D69D5">
      <w:pPr>
        <w:widowControl w:val="0"/>
        <w:tabs>
          <w:tab w:val="left" w:pos="0"/>
        </w:tabs>
        <w:spacing w:line="200" w:lineRule="atLeast"/>
        <w:ind w:left="-15"/>
        <w:rPr>
          <w:rFonts w:ascii="Times New Roman CYR" w:hAnsi="Times New Roman CYR"/>
          <w:color w:val="000000"/>
          <w:sz w:val="28"/>
          <w:szCs w:val="28"/>
          <w:lang w:val="uk-UA"/>
        </w:rPr>
      </w:pPr>
    </w:p>
    <w:p w:rsidR="009D69D5" w:rsidRDefault="009D69D5" w:rsidP="009D69D5">
      <w:pPr>
        <w:spacing w:line="360" w:lineRule="auto"/>
        <w:ind w:right="-1"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оздоровлення та відпочинок </w:t>
      </w:r>
      <w:proofErr w:type="spellStart"/>
      <w:r>
        <w:rPr>
          <w:sz w:val="28"/>
          <w:szCs w:val="28"/>
          <w:lang w:val="uk-UA"/>
        </w:rPr>
        <w:t>дітей”</w:t>
      </w:r>
      <w:proofErr w:type="spellEnd"/>
      <w:r>
        <w:rPr>
          <w:sz w:val="28"/>
          <w:szCs w:val="28"/>
          <w:lang w:val="uk-UA"/>
        </w:rPr>
        <w:t xml:space="preserve"> (зі змінами), наказу Міністерства освіти і науки України від 07.02.2014 №121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забезпечення права дітей на оздоровлення та відпочинок в дитячих закладах оздоровлення та відпочинку, підпорядкованих органам управління </w:t>
      </w:r>
      <w:proofErr w:type="spellStart"/>
      <w:r>
        <w:rPr>
          <w:sz w:val="28"/>
          <w:szCs w:val="28"/>
          <w:lang w:val="uk-UA"/>
        </w:rPr>
        <w:t>освітою”</w:t>
      </w:r>
      <w:proofErr w:type="spellEnd"/>
      <w:r>
        <w:rPr>
          <w:sz w:val="28"/>
          <w:szCs w:val="28"/>
          <w:lang w:val="uk-UA"/>
        </w:rPr>
        <w:t xml:space="preserve">, розпорядження Харківської обласної державної адміністрації від 21.04.2010 №205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оздоровлення та відпочинку дітей в 2010-2015 </w:t>
      </w:r>
      <w:proofErr w:type="spellStart"/>
      <w:r>
        <w:rPr>
          <w:sz w:val="28"/>
          <w:szCs w:val="28"/>
          <w:lang w:val="uk-UA"/>
        </w:rPr>
        <w:t>роках”</w:t>
      </w:r>
      <w:proofErr w:type="spellEnd"/>
      <w:r>
        <w:rPr>
          <w:sz w:val="28"/>
          <w:szCs w:val="28"/>
          <w:lang w:val="uk-UA"/>
        </w:rPr>
        <w:t xml:space="preserve">, рішення виконавчого комітету Харківської міської ради від 22.04.2015 №224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оздоровлення та відпочинку дітей міста Харкова у літній період 2015 </w:t>
      </w:r>
      <w:proofErr w:type="spellStart"/>
      <w:r>
        <w:rPr>
          <w:sz w:val="28"/>
          <w:szCs w:val="28"/>
          <w:lang w:val="uk-UA"/>
        </w:rPr>
        <w:t>року”</w:t>
      </w:r>
      <w:proofErr w:type="spellEnd"/>
      <w:r>
        <w:rPr>
          <w:sz w:val="28"/>
          <w:szCs w:val="28"/>
          <w:lang w:val="uk-UA"/>
        </w:rPr>
        <w:t xml:space="preserve">, наказу Департаменту науки і освіти Харківської обласної державної адміністрації від 24.04.2015 №214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оздоровлення та відпочинку дітей улітку 2015 </w:t>
      </w:r>
      <w:proofErr w:type="spellStart"/>
      <w:r>
        <w:rPr>
          <w:sz w:val="28"/>
          <w:szCs w:val="28"/>
          <w:lang w:val="uk-UA"/>
        </w:rPr>
        <w:t>року”</w:t>
      </w:r>
      <w:proofErr w:type="spellEnd"/>
      <w:r>
        <w:rPr>
          <w:sz w:val="28"/>
          <w:szCs w:val="28"/>
          <w:lang w:val="uk-UA"/>
        </w:rPr>
        <w:t xml:space="preserve">, наказу Департаменту освіти Харківської міської ради від 29.04.2015 №83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заходів з літнього відпочинку та оздоровлення дітей у 2015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, наказу управління освіти адміністрації Дзержинського району Харківської міської ради від 30.04.2015 №80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заходів з літнього відпочинку та оздоровлення дітей у 2015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>, з метою належної підготовки та проведення літньої оздоровчої кампанії у 2015 році, дотримання законодавства у сфері оздоровлення та відпочинку дітей</w:t>
      </w:r>
    </w:p>
    <w:p w:rsidR="009D69D5" w:rsidRPr="009D69D5" w:rsidRDefault="009D69D5" w:rsidP="009D69D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9D69D5" w:rsidRPr="009D69D5" w:rsidRDefault="009D69D5" w:rsidP="009D69D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9D69D5" w:rsidRDefault="009D69D5" w:rsidP="009D69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D69D5" w:rsidRDefault="009D69D5" w:rsidP="009D69D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відповідальною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кампанії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2015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заступника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НВР </w:t>
      </w:r>
      <w:proofErr w:type="spellStart"/>
      <w:r>
        <w:rPr>
          <w:sz w:val="28"/>
          <w:szCs w:val="28"/>
        </w:rPr>
        <w:t>Гусельнікову</w:t>
      </w:r>
      <w:proofErr w:type="spellEnd"/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А.</w:t>
      </w:r>
    </w:p>
    <w:p w:rsidR="009D69D5" w:rsidRDefault="009D69D5" w:rsidP="009D69D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Гусельніковій</w:t>
      </w:r>
      <w:proofErr w:type="spellEnd"/>
      <w:r>
        <w:rPr>
          <w:sz w:val="28"/>
          <w:szCs w:val="28"/>
          <w:lang w:val="uk-UA"/>
        </w:rPr>
        <w:t xml:space="preserve"> І.А., заступнику директора з НВР:</w:t>
      </w:r>
    </w:p>
    <w:p w:rsidR="009D69D5" w:rsidRDefault="009D69D5" w:rsidP="009D69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максимальне охоплення дітей різними формами відпочинку та оздоровлення.</w:t>
      </w:r>
    </w:p>
    <w:p w:rsidR="009D69D5" w:rsidRDefault="009D69D5" w:rsidP="009D69D5">
      <w:pPr>
        <w:pStyle w:val="4"/>
        <w:tabs>
          <w:tab w:val="clear" w:pos="0"/>
          <w:tab w:val="left" w:pos="3780"/>
        </w:tabs>
        <w:spacing w:before="0" w:after="0" w:line="360" w:lineRule="auto"/>
        <w:ind w:left="5942" w:firstLine="0"/>
        <w:jc w:val="right"/>
        <w:rPr>
          <w:b w:val="0"/>
          <w:lang w:val="uk-UA"/>
        </w:rPr>
      </w:pPr>
      <w:r>
        <w:rPr>
          <w:b w:val="0"/>
          <w:lang w:val="uk-UA"/>
        </w:rPr>
        <w:t>Червень-серпень 2015 року</w:t>
      </w:r>
    </w:p>
    <w:p w:rsidR="009D69D5" w:rsidRDefault="009D69D5" w:rsidP="009D69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Активізувати роботу педагогічного колективу навчального закладу щодо організації змістовного дозвілля дітей під час канікул шляхом розробки плану роботи на літні канікули та забезпечити його виконання. </w:t>
      </w:r>
    </w:p>
    <w:p w:rsidR="009D69D5" w:rsidRDefault="009D69D5" w:rsidP="009D69D5">
      <w:pPr>
        <w:pStyle w:val="5"/>
        <w:tabs>
          <w:tab w:val="num" w:pos="0"/>
        </w:tabs>
        <w:spacing w:before="0" w:after="0" w:line="360" w:lineRule="auto"/>
        <w:ind w:left="5940" w:firstLine="0"/>
        <w:jc w:val="right"/>
        <w:rPr>
          <w:b w:val="0"/>
          <w:i w:val="0"/>
          <w:sz w:val="28"/>
          <w:szCs w:val="28"/>
        </w:rPr>
      </w:pPr>
      <w:proofErr w:type="spellStart"/>
      <w:r>
        <w:rPr>
          <w:b w:val="0"/>
          <w:i w:val="0"/>
          <w:sz w:val="28"/>
          <w:szCs w:val="28"/>
        </w:rPr>
        <w:t>Червень-серпень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>2015</w:t>
      </w:r>
      <w:r>
        <w:rPr>
          <w:b w:val="0"/>
          <w:i w:val="0"/>
          <w:sz w:val="28"/>
          <w:szCs w:val="28"/>
        </w:rPr>
        <w:t xml:space="preserve"> року</w:t>
      </w:r>
    </w:p>
    <w:p w:rsidR="009D69D5" w:rsidRDefault="009D69D5" w:rsidP="009D69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роботу </w:t>
      </w:r>
      <w:r>
        <w:rPr>
          <w:sz w:val="28"/>
          <w:szCs w:val="28"/>
          <w:lang w:val="uk-UA"/>
        </w:rPr>
        <w:t>дитячого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“Райдуга”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Харківського навчально-виховного комплексу №179 та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його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ідкриття</w:t>
      </w:r>
      <w:proofErr w:type="spellEnd"/>
      <w:r>
        <w:rPr>
          <w:sz w:val="28"/>
          <w:szCs w:val="28"/>
        </w:rPr>
        <w:t xml:space="preserve">. </w:t>
      </w:r>
    </w:p>
    <w:p w:rsidR="009D69D5" w:rsidRDefault="009D69D5" w:rsidP="009D69D5">
      <w:pPr>
        <w:spacing w:line="360" w:lineRule="auto"/>
        <w:jc w:val="right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06.2015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>19.06.2015</w:t>
      </w:r>
    </w:p>
    <w:p w:rsidR="009D69D5" w:rsidRDefault="009D69D5" w:rsidP="009D69D5">
      <w:pPr>
        <w:spacing w:line="360" w:lineRule="auto"/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rFonts w:eastAsia="Batang"/>
          <w:sz w:val="28"/>
          <w:szCs w:val="28"/>
          <w:lang w:val="uk-UA"/>
        </w:rPr>
        <w:t xml:space="preserve">Призначити директором дитячого закладу відпочинку </w:t>
      </w:r>
      <w:proofErr w:type="spellStart"/>
      <w:r>
        <w:rPr>
          <w:rFonts w:eastAsia="Batang"/>
          <w:sz w:val="28"/>
          <w:szCs w:val="28"/>
          <w:lang w:val="uk-UA"/>
        </w:rPr>
        <w:t>“Райдуга”</w:t>
      </w:r>
      <w:proofErr w:type="spellEnd"/>
      <w:r>
        <w:rPr>
          <w:rFonts w:eastAsia="Batang"/>
          <w:sz w:val="28"/>
          <w:szCs w:val="28"/>
          <w:lang w:val="uk-UA"/>
        </w:rPr>
        <w:t xml:space="preserve"> з денним перебуванням на базі Харківського навчально-виховного комплексу №179 </w:t>
      </w:r>
      <w:proofErr w:type="spellStart"/>
      <w:r>
        <w:rPr>
          <w:rFonts w:eastAsia="Batang"/>
          <w:sz w:val="28"/>
          <w:szCs w:val="28"/>
          <w:lang w:val="uk-UA"/>
        </w:rPr>
        <w:t>Гусельнікову</w:t>
      </w:r>
      <w:proofErr w:type="spellEnd"/>
      <w:r>
        <w:rPr>
          <w:rFonts w:eastAsia="Batang"/>
          <w:sz w:val="28"/>
          <w:szCs w:val="28"/>
          <w:lang w:val="uk-UA"/>
        </w:rPr>
        <w:t xml:space="preserve"> Ірину Анатоліївну, заступника директора з НВР.</w:t>
      </w:r>
    </w:p>
    <w:p w:rsidR="009D69D5" w:rsidRDefault="009D69D5" w:rsidP="009D69D5">
      <w:pPr>
        <w:spacing w:line="360" w:lineRule="auto"/>
        <w:jc w:val="right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 02.06.2015 по 19.06.2015</w:t>
      </w:r>
    </w:p>
    <w:p w:rsidR="009D69D5" w:rsidRDefault="009D69D5" w:rsidP="009D69D5">
      <w:pPr>
        <w:spacing w:line="360" w:lineRule="auto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5. Покласти персональну відповідальність за охорону життя і здоров’я дітей на директора дитячого закладу відпочинку </w:t>
      </w:r>
      <w:proofErr w:type="spellStart"/>
      <w:r>
        <w:rPr>
          <w:rFonts w:eastAsia="Batang"/>
          <w:sz w:val="28"/>
          <w:szCs w:val="28"/>
          <w:lang w:val="uk-UA"/>
        </w:rPr>
        <w:t>“Райдуга”</w:t>
      </w:r>
      <w:proofErr w:type="spellEnd"/>
      <w:r>
        <w:rPr>
          <w:rFonts w:eastAsia="Batang"/>
          <w:sz w:val="28"/>
          <w:szCs w:val="28"/>
          <w:lang w:val="uk-UA"/>
        </w:rPr>
        <w:t xml:space="preserve"> </w:t>
      </w:r>
      <w:proofErr w:type="spellStart"/>
      <w:r>
        <w:rPr>
          <w:rFonts w:eastAsia="Batang"/>
          <w:sz w:val="28"/>
          <w:szCs w:val="28"/>
          <w:lang w:val="uk-UA"/>
        </w:rPr>
        <w:t>Гусельнікову</w:t>
      </w:r>
      <w:proofErr w:type="spellEnd"/>
      <w:r>
        <w:rPr>
          <w:rFonts w:eastAsia="Batang"/>
          <w:sz w:val="28"/>
          <w:szCs w:val="28"/>
          <w:lang w:val="uk-UA"/>
        </w:rPr>
        <w:t xml:space="preserve"> І.А., вихователів та інших працівників і доручити приділити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9D69D5" w:rsidRDefault="009D69D5" w:rsidP="009D69D5">
      <w:pPr>
        <w:spacing w:line="360" w:lineRule="auto"/>
        <w:ind w:firstLine="570"/>
        <w:jc w:val="right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 02.06.2015 по 19.06.2015</w:t>
      </w:r>
    </w:p>
    <w:p w:rsidR="009D69D5" w:rsidRDefault="009D69D5" w:rsidP="009D69D5">
      <w:pPr>
        <w:spacing w:line="360" w:lineRule="auto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 xml:space="preserve">6. </w:t>
      </w:r>
      <w:proofErr w:type="spellStart"/>
      <w:r>
        <w:rPr>
          <w:rFonts w:eastAsia="Batang"/>
          <w:sz w:val="28"/>
          <w:szCs w:val="28"/>
          <w:lang w:val="uk-UA"/>
        </w:rPr>
        <w:t>Гусельніковій</w:t>
      </w:r>
      <w:proofErr w:type="spellEnd"/>
      <w:r>
        <w:rPr>
          <w:rFonts w:eastAsia="Batang"/>
          <w:sz w:val="28"/>
          <w:szCs w:val="28"/>
          <w:lang w:val="uk-UA"/>
        </w:rPr>
        <w:t xml:space="preserve"> І.А., директору дитячого закладу відпочинку </w:t>
      </w:r>
      <w:proofErr w:type="spellStart"/>
      <w:r>
        <w:rPr>
          <w:rFonts w:eastAsia="Batang"/>
          <w:sz w:val="28"/>
          <w:szCs w:val="28"/>
          <w:lang w:val="uk-UA"/>
        </w:rPr>
        <w:t>“Райдуга”</w:t>
      </w:r>
      <w:proofErr w:type="spellEnd"/>
      <w:r>
        <w:rPr>
          <w:rFonts w:eastAsia="Batang"/>
          <w:sz w:val="28"/>
          <w:szCs w:val="28"/>
          <w:lang w:val="uk-UA"/>
        </w:rPr>
        <w:t xml:space="preserve"> з денним перебуванням на базі Харківського навчально-виховного комплексу  №179:</w:t>
      </w:r>
    </w:p>
    <w:p w:rsidR="009D69D5" w:rsidRDefault="009D69D5" w:rsidP="009D69D5">
      <w:pPr>
        <w:spacing w:line="360" w:lineRule="auto"/>
        <w:ind w:firstLine="3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6.1. Забезпечити контроль за дотриманням у дитячому закладі відпочинку належних умов щодо охорони життя і здоров’я дітей, якісного харчування, за дотриманням санітарних, протипожежних правил, правил порядку проведення екскурсій, походів, купання у басейні, безпеки дорожнього руху, правил перевезення дітей автомобільним та іншими видами транспорту.</w:t>
      </w:r>
    </w:p>
    <w:p w:rsidR="009D69D5" w:rsidRDefault="009D69D5" w:rsidP="009D69D5">
      <w:pPr>
        <w:spacing w:line="360" w:lineRule="auto"/>
        <w:ind w:firstLine="570"/>
        <w:jc w:val="right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 02.06.2015 по 19.06.2015</w:t>
      </w:r>
    </w:p>
    <w:p w:rsidR="009D69D5" w:rsidRDefault="009D69D5" w:rsidP="009D69D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 Організувати повноцінне та якісне двохразове харчування дітей, з урахуванням виконання натуральних норм на основні продукти харчування з розрахунку вартості 12,00 грн. на один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дітодень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дитячому закладі відпочинку на базі Харківського навчально-виховного комплексу №179.</w:t>
      </w:r>
    </w:p>
    <w:p w:rsidR="009D69D5" w:rsidRDefault="009D69D5" w:rsidP="009D69D5">
      <w:pPr>
        <w:spacing w:line="360" w:lineRule="auto"/>
        <w:ind w:firstLine="570"/>
        <w:jc w:val="right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 02.06.2015 по 19.06.205</w:t>
      </w:r>
    </w:p>
    <w:p w:rsidR="009D69D5" w:rsidRDefault="009D69D5" w:rsidP="009D69D5">
      <w:pPr>
        <w:spacing w:line="360" w:lineRule="auto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6.3. Організувати за кошти міського бюджету дворазове харчування дітей, які потребують особливої соціальної уваги та підтримки, з урахуванням виконання натуральних норм на основні продукти харчування з розрахунку вартості 12,00 грн. на один </w:t>
      </w:r>
      <w:proofErr w:type="spellStart"/>
      <w:r>
        <w:rPr>
          <w:rFonts w:eastAsia="Batang"/>
          <w:sz w:val="28"/>
          <w:szCs w:val="28"/>
          <w:lang w:val="uk-UA"/>
        </w:rPr>
        <w:t>дітодень</w:t>
      </w:r>
      <w:proofErr w:type="spellEnd"/>
      <w:r>
        <w:rPr>
          <w:rFonts w:eastAsia="Batang"/>
          <w:sz w:val="28"/>
          <w:szCs w:val="28"/>
          <w:lang w:val="uk-UA"/>
        </w:rPr>
        <w:t>, забезпечити цільове використання бюджетних коштів у дитячому закладі відпочинку на базі Харківського навчально-виховного комплексу №179.</w:t>
      </w:r>
    </w:p>
    <w:p w:rsidR="009D69D5" w:rsidRDefault="009D69D5" w:rsidP="009D69D5">
      <w:pPr>
        <w:spacing w:line="360" w:lineRule="auto"/>
        <w:ind w:firstLine="570"/>
        <w:jc w:val="right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 02.06.2015 по 19.06.2015</w:t>
      </w:r>
    </w:p>
    <w:p w:rsidR="009D69D5" w:rsidRDefault="009D69D5" w:rsidP="009D69D5">
      <w:pPr>
        <w:spacing w:line="360" w:lineRule="auto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6.4. Забезпечити  контроль  за  медичним  обслуговуванням  дітей  у  дитячому</w:t>
      </w:r>
    </w:p>
    <w:p w:rsidR="009D69D5" w:rsidRDefault="009D69D5" w:rsidP="009D69D5">
      <w:pPr>
        <w:spacing w:line="360" w:lineRule="auto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закладі відпочинку на базі Харківського навчально-виховного комплексу №179.</w:t>
      </w:r>
    </w:p>
    <w:p w:rsidR="009D69D5" w:rsidRDefault="009D69D5" w:rsidP="009D69D5">
      <w:pPr>
        <w:spacing w:line="360" w:lineRule="auto"/>
        <w:jc w:val="right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 02.06.2015 по 19.06.2015</w:t>
      </w:r>
    </w:p>
    <w:p w:rsidR="009D69D5" w:rsidRDefault="009D69D5" w:rsidP="009D69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6.5. Під час проведення відпочинку дітей активно впроваджувати форми роботи, спрямовані на залучення їх до національних, духовних та історичних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відвідуванню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Приділяти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пропаганді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здорового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способу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залучати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регулярних</w:t>
      </w:r>
      <w:proofErr w:type="spellEnd"/>
      <w:r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фізкультурою</w:t>
      </w:r>
      <w:proofErr w:type="spellEnd"/>
      <w:r>
        <w:rPr>
          <w:sz w:val="28"/>
          <w:szCs w:val="28"/>
        </w:rPr>
        <w:t xml:space="preserve"> та спортом. </w:t>
      </w:r>
    </w:p>
    <w:p w:rsidR="009D69D5" w:rsidRDefault="009D69D5" w:rsidP="009D69D5">
      <w:pPr>
        <w:spacing w:line="360" w:lineRule="auto"/>
        <w:ind w:firstLine="570"/>
        <w:jc w:val="right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 02.06.2015 по 19.06.2015</w:t>
      </w:r>
    </w:p>
    <w:p w:rsidR="009D69D5" w:rsidRDefault="009D69D5" w:rsidP="009D69D5">
      <w:pPr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Данильчук</w:t>
      </w:r>
      <w:proofErr w:type="spellEnd"/>
      <w:r>
        <w:rPr>
          <w:sz w:val="28"/>
          <w:szCs w:val="28"/>
          <w:lang w:val="uk-UA"/>
        </w:rPr>
        <w:t xml:space="preserve"> Л.І., завідувачу господарства:</w:t>
      </w:r>
    </w:p>
    <w:p w:rsidR="009D69D5" w:rsidRDefault="009D69D5" w:rsidP="009D69D5">
      <w:pPr>
        <w:spacing w:line="360" w:lineRule="auto"/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П</w:t>
      </w:r>
      <w:r>
        <w:rPr>
          <w:rFonts w:eastAsia="Batang"/>
          <w:sz w:val="28"/>
          <w:szCs w:val="28"/>
          <w:lang w:val="uk-UA"/>
        </w:rPr>
        <w:t>ровести підготовчу роботу до оформлення приміщень школи та території Харківського навчально-виховного комплексу №179 під функціонування дитячого закладу відпочинку з денним перебуванням: спальні, ігрові кімнати, спортивний майданчик, їдальня.</w:t>
      </w:r>
    </w:p>
    <w:p w:rsidR="009D69D5" w:rsidRDefault="009D69D5" w:rsidP="009D69D5">
      <w:pPr>
        <w:spacing w:line="360" w:lineRule="auto"/>
        <w:ind w:firstLine="540"/>
        <w:jc w:val="right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До 30.05.2015</w:t>
      </w:r>
    </w:p>
    <w:p w:rsidR="009D69D5" w:rsidRDefault="009D69D5" w:rsidP="009D69D5">
      <w:pPr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Плотниковій</w:t>
      </w:r>
      <w:proofErr w:type="spellEnd"/>
      <w:r>
        <w:rPr>
          <w:sz w:val="28"/>
          <w:szCs w:val="28"/>
          <w:lang w:val="uk-UA"/>
        </w:rPr>
        <w:t xml:space="preserve"> О.М., заступнику директора з НВР :</w:t>
      </w:r>
    </w:p>
    <w:p w:rsidR="009D69D5" w:rsidRDefault="009D69D5" w:rsidP="009D69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Оптимізувати мережу дошкільних груп ХНВК №179 на літній період і перевести їх на оздоровчий режим роботи. </w:t>
      </w:r>
    </w:p>
    <w:p w:rsidR="009D69D5" w:rsidRDefault="009D69D5" w:rsidP="009D69D5">
      <w:pPr>
        <w:spacing w:line="360" w:lineRule="auto"/>
        <w:ind w:firstLine="14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02.06.2015 по 31.08.2015</w:t>
      </w:r>
    </w:p>
    <w:p w:rsidR="009D69D5" w:rsidRDefault="009D69D5" w:rsidP="009D69D5">
      <w:pPr>
        <w:spacing w:line="360" w:lineRule="auto"/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Здійснити чітке планування організації оздоровлення вихованців дошкільного підрозділу </w:t>
      </w:r>
      <w:r>
        <w:rPr>
          <w:rFonts w:eastAsia="Batang"/>
          <w:sz w:val="28"/>
          <w:szCs w:val="28"/>
          <w:lang w:val="uk-UA"/>
        </w:rPr>
        <w:t>Харківського навчально-виховного комплексу №179.</w:t>
      </w:r>
    </w:p>
    <w:p w:rsidR="009D69D5" w:rsidRDefault="009D69D5" w:rsidP="009D69D5">
      <w:pPr>
        <w:spacing w:line="360" w:lineRule="auto"/>
        <w:ind w:firstLine="540"/>
        <w:jc w:val="right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До 30.05.2015</w:t>
      </w:r>
    </w:p>
    <w:p w:rsidR="009D69D5" w:rsidRDefault="009D69D5" w:rsidP="009D69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Контроль за виконанням цього наказу залишаю за собою.</w:t>
      </w:r>
    </w:p>
    <w:p w:rsidR="009D69D5" w:rsidRDefault="009D69D5" w:rsidP="009D69D5">
      <w:pPr>
        <w:pStyle w:val="22"/>
        <w:spacing w:line="240" w:lineRule="auto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</w:p>
    <w:p w:rsidR="009D69D5" w:rsidRDefault="009D69D5" w:rsidP="009D69D5">
      <w:pPr>
        <w:pStyle w:val="22"/>
        <w:spacing w:line="240" w:lineRule="auto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</w:p>
    <w:p w:rsidR="009D69D5" w:rsidRDefault="009D69D5" w:rsidP="009D69D5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9D69D5" w:rsidRDefault="009D69D5" w:rsidP="009D69D5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     Д.А.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9D69D5" w:rsidRDefault="009D69D5" w:rsidP="009D69D5">
      <w:pPr>
        <w:tabs>
          <w:tab w:val="left" w:pos="0"/>
        </w:tabs>
        <w:spacing w:line="360" w:lineRule="auto"/>
        <w:rPr>
          <w:lang w:val="uk-UA"/>
        </w:rPr>
      </w:pPr>
    </w:p>
    <w:p w:rsidR="009D69D5" w:rsidRDefault="009D69D5" w:rsidP="009D69D5">
      <w:pPr>
        <w:tabs>
          <w:tab w:val="left" w:pos="0"/>
        </w:tabs>
        <w:spacing w:line="360" w:lineRule="auto"/>
        <w:rPr>
          <w:lang w:val="uk-UA"/>
        </w:rPr>
      </w:pPr>
    </w:p>
    <w:p w:rsidR="009D69D5" w:rsidRDefault="009D69D5" w:rsidP="009D69D5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9D69D5" w:rsidRDefault="009D69D5" w:rsidP="009D69D5">
      <w:pPr>
        <w:spacing w:line="360" w:lineRule="auto"/>
        <w:ind w:firstLine="540"/>
        <w:rPr>
          <w:lang w:val="uk-UA"/>
        </w:rPr>
      </w:pPr>
      <w:proofErr w:type="spellStart"/>
      <w:r>
        <w:rPr>
          <w:lang w:val="uk-UA"/>
        </w:rPr>
        <w:t>Гусельнікова</w:t>
      </w:r>
      <w:proofErr w:type="spellEnd"/>
      <w:r>
        <w:rPr>
          <w:lang w:val="uk-UA"/>
        </w:rPr>
        <w:t xml:space="preserve"> І.А.</w:t>
      </w:r>
    </w:p>
    <w:p w:rsidR="009D69D5" w:rsidRDefault="009D69D5" w:rsidP="009D69D5">
      <w:pPr>
        <w:spacing w:line="360" w:lineRule="auto"/>
        <w:ind w:firstLine="540"/>
        <w:rPr>
          <w:lang w:val="uk-UA"/>
        </w:rPr>
      </w:pPr>
      <w:proofErr w:type="spellStart"/>
      <w:r>
        <w:rPr>
          <w:lang w:val="uk-UA"/>
        </w:rPr>
        <w:t>Плотникова</w:t>
      </w:r>
      <w:proofErr w:type="spellEnd"/>
      <w:r>
        <w:rPr>
          <w:lang w:val="uk-UA"/>
        </w:rPr>
        <w:t xml:space="preserve"> О.М.</w:t>
      </w:r>
    </w:p>
    <w:p w:rsidR="009D69D5" w:rsidRDefault="009D69D5" w:rsidP="009D69D5">
      <w:pPr>
        <w:spacing w:line="360" w:lineRule="auto"/>
        <w:ind w:firstLine="540"/>
        <w:rPr>
          <w:lang w:val="uk-UA"/>
        </w:rPr>
      </w:pPr>
      <w:proofErr w:type="spellStart"/>
      <w:r>
        <w:rPr>
          <w:lang w:val="uk-UA"/>
        </w:rPr>
        <w:t>Данильчук</w:t>
      </w:r>
      <w:proofErr w:type="spellEnd"/>
      <w:r>
        <w:rPr>
          <w:lang w:val="uk-UA"/>
        </w:rPr>
        <w:t xml:space="preserve"> Л.І.</w:t>
      </w:r>
    </w:p>
    <w:p w:rsidR="009D69D5" w:rsidRDefault="009D69D5" w:rsidP="009D69D5">
      <w:pPr>
        <w:ind w:firstLine="540"/>
        <w:rPr>
          <w:lang w:val="uk-UA"/>
        </w:rPr>
      </w:pPr>
      <w:r>
        <w:rPr>
          <w:lang w:val="uk-UA"/>
        </w:rPr>
        <w:t>Сорока Н.М.</w:t>
      </w:r>
    </w:p>
    <w:p w:rsidR="00FA65F6" w:rsidRDefault="00FA65F6"/>
    <w:sectPr w:rsidR="00FA65F6" w:rsidSect="00FA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D5"/>
    <w:rsid w:val="009D69D5"/>
    <w:rsid w:val="00FA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D69D5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69D5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69D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D69D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9D69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D6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9D69D5"/>
    <w:rPr>
      <w:rFonts w:ascii="Courier New" w:hAnsi="Courier New"/>
      <w:sz w:val="20"/>
      <w:szCs w:val="20"/>
    </w:rPr>
  </w:style>
  <w:style w:type="paragraph" w:customStyle="1" w:styleId="22">
    <w:name w:val="Основной текст 22"/>
    <w:basedOn w:val="a"/>
    <w:rsid w:val="009D69D5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2015-06-07T15:29:00Z</dcterms:created>
  <dcterms:modified xsi:type="dcterms:W3CDTF">2015-06-07T15:30:00Z</dcterms:modified>
</cp:coreProperties>
</file>